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692A" w14:textId="2D4442B8" w:rsidR="00DD5976" w:rsidRPr="00DD5976" w:rsidRDefault="00DD5976" w:rsidP="00DD5976">
      <w:pPr>
        <w:pStyle w:val="Akapitzlist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DD5976">
        <w:rPr>
          <w:rFonts w:ascii="Arial" w:hAnsi="Arial" w:cs="Arial"/>
          <w:b/>
        </w:rPr>
        <w:t>DIETA PŁYNNA</w:t>
      </w:r>
    </w:p>
    <w:p w14:paraId="781A3CE8" w14:textId="77777777" w:rsidR="00DD5976" w:rsidRDefault="00DD5976" w:rsidP="00DD5976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DD5976" w:rsidRPr="00C476CF" w14:paraId="52659686" w14:textId="77777777" w:rsidTr="00934C3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9F8984" w14:textId="77777777" w:rsidR="00DD5976" w:rsidRPr="00DD5976" w:rsidRDefault="00DD5976" w:rsidP="00934C36">
            <w:pPr>
              <w:rPr>
                <w:rFonts w:ascii="Arial" w:hAnsi="Arial" w:cs="Arial"/>
              </w:rPr>
            </w:pPr>
          </w:p>
          <w:p w14:paraId="006B62E6" w14:textId="77777777" w:rsidR="00DD5976" w:rsidRPr="00DD5976" w:rsidRDefault="00DD5976" w:rsidP="00934C36">
            <w:pPr>
              <w:rPr>
                <w:rFonts w:ascii="Arial" w:hAnsi="Arial" w:cs="Arial"/>
              </w:rPr>
            </w:pPr>
            <w:r w:rsidRPr="00DD5976">
              <w:rPr>
                <w:rFonts w:ascii="Arial" w:hAnsi="Arial" w:cs="Arial"/>
              </w:rPr>
              <w:t>Nazwa diety</w:t>
            </w:r>
          </w:p>
          <w:p w14:paraId="32BDD225" w14:textId="77777777" w:rsidR="00DD5976" w:rsidRPr="00DD5976" w:rsidRDefault="00DD5976" w:rsidP="00934C36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7339EF3" w14:textId="77777777" w:rsidR="00DD5976" w:rsidRPr="00C476CF" w:rsidRDefault="00DD5976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DIETA PŁYNNA (13)</w:t>
            </w:r>
          </w:p>
        </w:tc>
      </w:tr>
      <w:tr w:rsidR="00DD5976" w:rsidRPr="0027125B" w14:paraId="2EB8E066" w14:textId="77777777" w:rsidTr="00934C3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E4C645B" w14:textId="77777777" w:rsidR="00DD5976" w:rsidRPr="00DD5976" w:rsidRDefault="00DD5976" w:rsidP="00934C36">
            <w:pPr>
              <w:rPr>
                <w:rFonts w:ascii="Arial" w:hAnsi="Arial" w:cs="Arial"/>
              </w:rPr>
            </w:pPr>
            <w:r w:rsidRPr="00DD5976">
              <w:rPr>
                <w:rFonts w:ascii="Arial" w:hAnsi="Arial" w:cs="Arial"/>
              </w:rPr>
              <w:t>Zastosowanie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B2AA15" w14:textId="77777777" w:rsidR="00DD5976" w:rsidRPr="0027125B" w:rsidRDefault="00DD5976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Dla osób:</w:t>
            </w:r>
          </w:p>
          <w:p w14:paraId="2833DC38" w14:textId="77777777" w:rsidR="00DD5976" w:rsidRPr="0027125B" w:rsidRDefault="00DD5976" w:rsidP="00DD59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według wskazań lekarza,</w:t>
            </w:r>
          </w:p>
          <w:p w14:paraId="68941C18" w14:textId="77777777" w:rsidR="00DD5976" w:rsidRPr="0027125B" w:rsidRDefault="00DD5976" w:rsidP="00DD59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chorobami jamy ustnej i przełyku,</w:t>
            </w:r>
          </w:p>
          <w:p w14:paraId="1506B710" w14:textId="77777777" w:rsidR="00DD5976" w:rsidRPr="0027125B" w:rsidRDefault="00DD5976" w:rsidP="00DD59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u chorych nieprzytomnych,</w:t>
            </w:r>
          </w:p>
          <w:p w14:paraId="3DA99B55" w14:textId="77777777" w:rsidR="00DD5976" w:rsidRPr="0027125B" w:rsidRDefault="00DD5976" w:rsidP="00DD59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które nie tolerują pożywienia (nudności, wymioty, brak łaknienia, biegunka.</w:t>
            </w:r>
          </w:p>
        </w:tc>
      </w:tr>
      <w:tr w:rsidR="00DD5976" w:rsidRPr="0027125B" w14:paraId="119E3C07" w14:textId="77777777" w:rsidTr="00934C3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5857EB4" w14:textId="77777777" w:rsidR="00DD5976" w:rsidRPr="00DD5976" w:rsidRDefault="00DD5976" w:rsidP="00934C36">
            <w:pPr>
              <w:rPr>
                <w:rFonts w:ascii="Arial" w:hAnsi="Arial" w:cs="Arial"/>
              </w:rPr>
            </w:pPr>
            <w:r w:rsidRPr="00DD5976">
              <w:rPr>
                <w:rFonts w:ascii="Arial" w:hAnsi="Arial" w:cs="Arial"/>
              </w:rPr>
              <w:t>Zalecenia dietetyczne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5A641A" w14:textId="77777777" w:rsidR="00DD5976" w:rsidRPr="0027125B" w:rsidRDefault="00DD5976" w:rsidP="00DD597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płynna ma na celu złagodzenie pragnienia i dostarczenie niezbędnej ilości płynów,</w:t>
            </w:r>
          </w:p>
          <w:p w14:paraId="3FBF39CC" w14:textId="77777777" w:rsidR="00DD5976" w:rsidRPr="0027125B" w:rsidRDefault="00DD5976" w:rsidP="00DD597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diecie płynnej nie bierze się pod uwagę wartości odżywczej i energetycznej,</w:t>
            </w:r>
          </w:p>
          <w:p w14:paraId="261926CB" w14:textId="77777777" w:rsidR="00DD5976" w:rsidRPr="0027125B" w:rsidRDefault="00DD5976" w:rsidP="00DD597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choremu podaje się głównie płyny obojętne tj. woda przegotowana lub mineralna niegazowana, napar rumianku, słaba herbata,</w:t>
            </w:r>
          </w:p>
          <w:p w14:paraId="2DF211DD" w14:textId="77777777" w:rsidR="00DD5976" w:rsidRPr="0027125B" w:rsidRDefault="00DD5976" w:rsidP="00DD597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skład diety płynnej może wchodzić również odtłuszczony rosół, bardzo rozcieńczony kleik, zaleca się również podawanie płynnej pozostałości po odcedzeniu kaszy, ryżu lub płatków,</w:t>
            </w:r>
          </w:p>
          <w:p w14:paraId="3AA41624" w14:textId="77777777" w:rsidR="00DD5976" w:rsidRPr="0027125B" w:rsidRDefault="00DD5976" w:rsidP="00DD597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dozwolone są również klarowne soki owocowe,</w:t>
            </w:r>
          </w:p>
          <w:p w14:paraId="43F22829" w14:textId="77777777" w:rsidR="00DD5976" w:rsidRPr="0027125B" w:rsidRDefault="00DD5976" w:rsidP="00DD597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początkowej fazie diety płynnej zaleca się podawać jednorazowo 30-60 ml płynów w odstępach 1 godziny,</w:t>
            </w:r>
          </w:p>
          <w:p w14:paraId="3BFB98DE" w14:textId="77777777" w:rsidR="00DD5976" w:rsidRPr="0027125B" w:rsidRDefault="00DD5976" w:rsidP="00DD597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dietę płynną stosuje się zazwyczaj do dwóch dni, jeśli po tym czasie, o ile obserwuje się poprawę stanu zdrowia, dietę można rozszerzyć poprzez dodanie jajka do kleiku lub żelatyny do soku owocowego,</w:t>
            </w:r>
          </w:p>
          <w:p w14:paraId="3E244CAC" w14:textId="77777777" w:rsidR="00DD5976" w:rsidRPr="0027125B" w:rsidRDefault="00DD5976" w:rsidP="00DD597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przypadku zaburzeń elektrolitowych wskazane jest podawanie doustnych płynów nawadniających.</w:t>
            </w:r>
          </w:p>
        </w:tc>
      </w:tr>
    </w:tbl>
    <w:p w14:paraId="1C7D7956" w14:textId="77777777" w:rsidR="00AA2D3A" w:rsidRDefault="00AA2D3A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6CE"/>
    <w:multiLevelType w:val="hybridMultilevel"/>
    <w:tmpl w:val="A568F334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0790546A"/>
    <w:multiLevelType w:val="hybridMultilevel"/>
    <w:tmpl w:val="4E52F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B4C11"/>
    <w:multiLevelType w:val="hybridMultilevel"/>
    <w:tmpl w:val="0AE07D4C"/>
    <w:lvl w:ilvl="0" w:tplc="225475EA">
      <w:start w:val="1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4FD84F33"/>
    <w:multiLevelType w:val="hybridMultilevel"/>
    <w:tmpl w:val="539AD0F6"/>
    <w:lvl w:ilvl="0" w:tplc="E6803A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295213">
    <w:abstractNumId w:val="3"/>
  </w:num>
  <w:num w:numId="2" w16cid:durableId="1553731112">
    <w:abstractNumId w:val="1"/>
  </w:num>
  <w:num w:numId="3" w16cid:durableId="1094518626">
    <w:abstractNumId w:val="0"/>
  </w:num>
  <w:num w:numId="4" w16cid:durableId="532963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76"/>
    <w:rsid w:val="00AA2D3A"/>
    <w:rsid w:val="00D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5696"/>
  <w15:chartTrackingRefBased/>
  <w15:docId w15:val="{2CC1C34F-2E75-4A0F-82D0-EA88F2F1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2022-11-14T08:28:00Z</dcterms:created>
  <dcterms:modified xsi:type="dcterms:W3CDTF">2022-11-14T08:29:00Z</dcterms:modified>
</cp:coreProperties>
</file>